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Prywatna sprzedaż internetowa: będą podatki za 2023 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usług i produktów (także używanych krócej niż 6 miesięcy) przez platformy online podlega opodatkowaniu – wlicza się w to między innymi wyprzedaż odzieży lub obuwia, udostępnianie środka transportu, masaże (niemedyczne), a także najem mieszkań i domów. Zgodnie z polskim prawem, każda osoba bez rejestracji działalności gospodarczej może sprzedawać prywatnie [1] za pośrednictwem internetu i nie płacić od tego podatku. W takim wypadku obowiązują jednak limity – do 2000 euro (ok. 8500 zł) i 30 zakończonych sprzedażą transakcji rocznie. Przepisy te weszły w życie 1 lipca 2024 r. [2].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zmiana regulacji prawnych dotyczących sprzedaży online dotyczy konieczności przekazywania danych sprzedawców prywatnych do Krajowej Administracji Skarbowej (KAS). Raport z transakcji trafi do fiskusa, jeśli sprzedawcy: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2023 r. i 2024 r. korzystali z platform internetowych w celach sprzedażowych (np. Olx, Vinted, Allegro, Facebook, Sprzedajemy, Booking, Uber);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przekroczyli limit 2000 euro przychodu lub 30.zakończonych sprzedażą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raportują w okresach rocznych, z tym, że pierwsze raportowanie obejmie transakcje zrealizowane w latach 2023 i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</w:t>
      </w:r>
      <w:r>
        <w:rPr>
          <w:rFonts w:ascii="calibri" w:hAnsi="calibri" w:eastAsia="calibri" w:cs="calibri"/>
          <w:sz w:val="24"/>
          <w:szCs w:val="24"/>
        </w:rPr>
        <w:t xml:space="preserve">: samo raportowanie nie oznacza automatycznie opodatkowania, dostarcza jednak administracji skarbowej dodatkowych, precyzyjnych danych do kontroli poprawności rocznych rozliczeń podatkowych składanych przez sprzedających w internecie.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Szara strefa w sprzedaży online wymaga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które nas obowiązują, mają na celu przeciwdziałanie unikania opodatkowania przez osoby sprzedające towary lub usługi bez zarejestrowania działalności gospodarczej. Sprzedaż internetowa nie była dotąd regulowana w tym zakresie, dlatego tak ważne było opodatkowanie zarobkowej sprzedaży prywatnej, stanowiącej nieuczciwą konkurencję wobec firm oraz osób opłacających podatki.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1: Usługi transportowe typu prywatnego, ale odpłatnego vs usługi taxi.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2: odsprzedaż “upolowanych w szmateksach” ubrań vs stacjonarny sklep z używaną odzieżą.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platform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transakcji i kwot przez sprzedawców nie jest konieczne. Platformy pośredniczące w sprzedaży towarów i usług są zobowiązane do przesłania danych o transakcjach danej osoby do KAS, jeśli przekroczone zostały warunki graniczne. Platformy-pośrednicy muszą także poinformować daną osobę o tym fakcie, wysyłając informację e-mailem lub innym kanałem komunikacji, określonym w regulaminie platformy.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konsekwencje dla sprzedających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Obowiązujące przepisy pozwalają służbom fiskalnym, w zasadzie w sposób nieograniczony, kontrolować prywatne konta bankowe, przepływy, komunikację oraz majątek fizyczny. Regulacje prawne, do których się odnosimy, umożliwiają KAS pozyskiwanie kolejnych danych, dotąd niedostępnych: o prywatnych działaniach sprzedażowych poprzez platformy internetowe. Informacje przesyłane do organów podatkowych przez platformy pośredniczące w sprzedaży online mogą więc stanowić podstawę do podjęcia przez fiskusa działań i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żądania uregulowania zaległych podatków – jeżeli sprzedaż (usług i towarów) albo najem nie zostały zgłoszone do opodatkowania;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zgłoszenia sprawy do prokuratury – np. jeśli sprzedający prywatnie podał do informacji platformy nieprawdziwe dane jak przerobiony (sfałszowany) dowód osobisty – inny dokument identyfikujący, chroniony prawem;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Podawanie nieprawdziwych albo niezgodnych ze stanem faktycznym danych jest w kontekście podatków – prawa fiskalnego – traktowane jako przestępstwo lub wykroczenie, a w najlepszym razie jako zła wola podatnika [3]. Użytkownicy korzystający z platform online jako sprzedawcy prywatni powinni zadbać o prawdziwość i aktualność danych, które mogą służyć do identyfikacji oraz komunikowania w sprawach podatkowych.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Symfonii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Osoby osiągające przychód na terytorium Polski są zobowiązane do płacenia podatków. Ustawa o podatku dochodowym od osób fizycznych z dnia 26 lipca 1991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Dz.U. 1991 nr 80 poz. 350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Ustawa o zmianie ustawy o wymianie informacji podatkowych z innymi państwami oraz niektórych innych ustaw (DAC7).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https://isap.sejm.gov.pl/isap.nsf/DocDetails.xsp?id=WDU20240000879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DAC7 tj. dyrektywa Rady (UE) 2021/514 z dnia 22 marca 2021 r. zmieniającą dyrektywę 2011/16/UE w sprawie współpracy administracyjnej w dziedzinie opodatkowania., która, m.in., nakłada na platformy handlu internetowego obowiązek raportowania transakcji i danych sprzedawców, którzy przekroczyli roczne ustawowe limity dot. kwot i liczby transakcji sprzedaży.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https://eur-lex.europa.eu/legal-content/PL/LSU/?uri=CELEX:32021L0514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 Oszustwo podatkowe – zgodnie z przepisami, znamiona oszustwa podatkowego to: podanie nieprawdy lub zatajenie prawdy, umyślność działania, złożenie deklaracji czy oświadczenia - art. 56 k. k. s.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https://isap.sejm.gov.pl/isap.nsf/download.xsp/WDU19990830930/U/D19990930Lj.pdf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cDetails.xsp?id=wdu19910800350" TargetMode="External"/><Relationship Id="rId8" Type="http://schemas.openxmlformats.org/officeDocument/2006/relationships/hyperlink" Target="https://isap.sejm.gov.pl/isap.nsf/DocDetails.xsp?id=WDU20240000879" TargetMode="External"/><Relationship Id="rId9" Type="http://schemas.openxmlformats.org/officeDocument/2006/relationships/hyperlink" Target="https://eur-lex.europa.eu/legal-content/PL/LSU/?uri=CELEX:32021L0514" TargetMode="External"/><Relationship Id="rId10" Type="http://schemas.openxmlformats.org/officeDocument/2006/relationships/hyperlink" Target="https://isap.sejm.gov.pl/isap.nsf/download.xsp/WDU19990830930/U/D19990930L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2026-07-09T04:31:53+02:00</dcterms:created>
  <dcterms:modified xsi:type="dcterms:W3CDTF">2026-07-09T04:31:53+02:00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